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b/>
          <w:sz w:val="32"/>
          <w:szCs w:val="32"/>
        </w:rPr>
      </w:pPr>
      <w:r>
        <w:rPr>
          <w:rFonts w:hint="eastAsia" w:ascii="黑体" w:hAnsi="黑体" w:eastAsia="黑体"/>
          <w:b/>
          <w:sz w:val="32"/>
          <w:szCs w:val="32"/>
        </w:rPr>
        <w:t>关于开展201</w:t>
      </w:r>
      <w:r>
        <w:rPr>
          <w:rFonts w:hint="eastAsia" w:ascii="黑体" w:hAnsi="黑体" w:eastAsia="黑体"/>
          <w:b/>
          <w:sz w:val="32"/>
          <w:szCs w:val="32"/>
          <w:lang w:val="en-US" w:eastAsia="zh-CN"/>
        </w:rPr>
        <w:t>9</w:t>
      </w:r>
      <w:r>
        <w:rPr>
          <w:rFonts w:hint="eastAsia" w:ascii="黑体" w:hAnsi="黑体" w:eastAsia="黑体"/>
          <w:b/>
          <w:sz w:val="32"/>
          <w:szCs w:val="32"/>
        </w:rPr>
        <w:t>年专业学位研究生课程案例库</w:t>
      </w:r>
    </w:p>
    <w:p>
      <w:pPr>
        <w:spacing w:afterLines="50"/>
        <w:jc w:val="center"/>
        <w:rPr>
          <w:rFonts w:ascii="黑体" w:hAnsi="黑体" w:eastAsia="黑体"/>
          <w:b/>
          <w:sz w:val="32"/>
          <w:szCs w:val="32"/>
        </w:rPr>
      </w:pPr>
      <w:r>
        <w:rPr>
          <w:rFonts w:hint="eastAsia" w:ascii="黑体" w:hAnsi="黑体" w:eastAsia="黑体"/>
          <w:b/>
          <w:sz w:val="32"/>
          <w:szCs w:val="32"/>
        </w:rPr>
        <w:t>立项建设的通知</w:t>
      </w:r>
    </w:p>
    <w:p>
      <w:pPr>
        <w:widowControl/>
        <w:spacing w:line="500" w:lineRule="exact"/>
        <w:jc w:val="left"/>
        <w:rPr>
          <w:rFonts w:cs="宋体" w:asciiTheme="minorEastAsia" w:hAnsiTheme="minorEastAsia"/>
          <w:kern w:val="0"/>
          <w:sz w:val="28"/>
          <w:szCs w:val="28"/>
        </w:rPr>
      </w:pPr>
      <w:r>
        <w:rPr>
          <w:rFonts w:cs="Times New Roman" w:asciiTheme="minorEastAsia" w:hAnsiTheme="minorEastAsia"/>
          <w:b/>
          <w:bCs/>
          <w:kern w:val="0"/>
          <w:sz w:val="28"/>
          <w:szCs w:val="28"/>
        </w:rPr>
        <w:t>各</w:t>
      </w:r>
      <w:r>
        <w:rPr>
          <w:rFonts w:hint="eastAsia" w:cs="Times New Roman" w:asciiTheme="minorEastAsia" w:hAnsiTheme="minorEastAsia"/>
          <w:b/>
          <w:bCs/>
          <w:kern w:val="0"/>
          <w:sz w:val="28"/>
          <w:szCs w:val="28"/>
        </w:rPr>
        <w:t>研究生</w:t>
      </w:r>
      <w:r>
        <w:rPr>
          <w:rFonts w:cs="Times New Roman" w:asciiTheme="minorEastAsia" w:hAnsiTheme="minorEastAsia"/>
          <w:b/>
          <w:bCs/>
          <w:kern w:val="0"/>
          <w:sz w:val="28"/>
          <w:szCs w:val="28"/>
        </w:rPr>
        <w:t>培养单位</w:t>
      </w:r>
      <w:r>
        <w:rPr>
          <w:rFonts w:cs="Times New Roman" w:asciiTheme="minorEastAsia" w:hAnsiTheme="minorEastAsia"/>
          <w:kern w:val="0"/>
          <w:sz w:val="28"/>
          <w:szCs w:val="28"/>
        </w:rPr>
        <w:t>：</w:t>
      </w:r>
      <w:r>
        <w:rPr>
          <w:rFonts w:cs="宋体" w:asciiTheme="minorEastAsia" w:hAnsiTheme="minorEastAsia"/>
          <w:kern w:val="0"/>
          <w:sz w:val="28"/>
          <w:szCs w:val="28"/>
        </w:rPr>
        <w:t xml:space="preserve"> </w:t>
      </w:r>
    </w:p>
    <w:p>
      <w:pPr>
        <w:widowControl/>
        <w:spacing w:line="500" w:lineRule="exact"/>
        <w:ind w:firstLine="540"/>
        <w:jc w:val="left"/>
        <w:rPr>
          <w:rFonts w:cs="宋体" w:asciiTheme="minorEastAsia" w:hAnsiTheme="minorEastAsia"/>
          <w:kern w:val="0"/>
          <w:sz w:val="28"/>
          <w:szCs w:val="28"/>
        </w:rPr>
      </w:pPr>
      <w:r>
        <w:rPr>
          <w:rFonts w:hint="eastAsia" w:cs="Times New Roman" w:asciiTheme="minorEastAsia" w:hAnsiTheme="minorEastAsia"/>
          <w:kern w:val="0"/>
          <w:sz w:val="28"/>
          <w:szCs w:val="28"/>
        </w:rPr>
        <w:t>为积极推进专业学位研究生培养模式改革，</w:t>
      </w:r>
      <w:r>
        <w:rPr>
          <w:rFonts w:cs="Times New Roman" w:asciiTheme="minorEastAsia" w:hAnsiTheme="minorEastAsia"/>
          <w:kern w:val="0"/>
          <w:sz w:val="28"/>
          <w:szCs w:val="28"/>
        </w:rPr>
        <w:t>进一步推进</w:t>
      </w:r>
      <w:r>
        <w:rPr>
          <w:rFonts w:hint="eastAsia" w:cs="Times New Roman" w:asciiTheme="minorEastAsia" w:hAnsiTheme="minorEastAsia"/>
          <w:kern w:val="0"/>
          <w:sz w:val="28"/>
          <w:szCs w:val="28"/>
        </w:rPr>
        <w:t>我校</w:t>
      </w:r>
      <w:r>
        <w:rPr>
          <w:rFonts w:cs="Times New Roman" w:asciiTheme="minorEastAsia" w:hAnsiTheme="minorEastAsia"/>
          <w:kern w:val="0"/>
          <w:sz w:val="28"/>
          <w:szCs w:val="28"/>
        </w:rPr>
        <w:t>专业学位研究生课程</w:t>
      </w:r>
      <w:r>
        <w:rPr>
          <w:rFonts w:hint="eastAsia" w:cs="Times New Roman" w:asciiTheme="minorEastAsia" w:hAnsiTheme="minorEastAsia"/>
          <w:kern w:val="0"/>
          <w:sz w:val="28"/>
          <w:szCs w:val="28"/>
        </w:rPr>
        <w:t>教学</w:t>
      </w:r>
      <w:r>
        <w:rPr>
          <w:rFonts w:cs="Times New Roman" w:asciiTheme="minorEastAsia" w:hAnsiTheme="minorEastAsia"/>
          <w:kern w:val="0"/>
          <w:sz w:val="28"/>
          <w:szCs w:val="28"/>
        </w:rPr>
        <w:t>改革，根据</w:t>
      </w:r>
      <w:r>
        <w:rPr>
          <w:rFonts w:hint="eastAsia" w:cs="Times New Roman" w:asciiTheme="minorEastAsia" w:hAnsiTheme="minorEastAsia"/>
          <w:kern w:val="0"/>
          <w:sz w:val="28"/>
          <w:szCs w:val="28"/>
        </w:rPr>
        <w:t>《教育部关于加强专业学位研究生案例教学和联合培养基地建设的意见》（教研[2015]1号）</w:t>
      </w:r>
      <w:r>
        <w:rPr>
          <w:rFonts w:cs="Times New Roman" w:asciiTheme="minorEastAsia" w:hAnsiTheme="minorEastAsia"/>
          <w:kern w:val="0"/>
          <w:sz w:val="28"/>
          <w:szCs w:val="28"/>
        </w:rPr>
        <w:t>文件精神，</w:t>
      </w:r>
      <w:r>
        <w:rPr>
          <w:rFonts w:hint="eastAsia" w:cs="Times New Roman" w:asciiTheme="minorEastAsia" w:hAnsiTheme="minorEastAsia"/>
          <w:kern w:val="0"/>
          <w:sz w:val="28"/>
          <w:szCs w:val="28"/>
        </w:rPr>
        <w:t>学校决定开展</w:t>
      </w:r>
      <w:r>
        <w:rPr>
          <w:rFonts w:cs="Times New Roman" w:asciiTheme="minorEastAsia" w:hAnsiTheme="minorEastAsia"/>
          <w:kern w:val="0"/>
          <w:sz w:val="28"/>
          <w:szCs w:val="28"/>
        </w:rPr>
        <w:t>专业学位研究生课程案例</w:t>
      </w:r>
      <w:r>
        <w:rPr>
          <w:rFonts w:hint="eastAsia" w:cs="Times New Roman" w:asciiTheme="minorEastAsia" w:hAnsiTheme="minorEastAsia"/>
          <w:kern w:val="0"/>
          <w:sz w:val="28"/>
          <w:szCs w:val="28"/>
        </w:rPr>
        <w:t>库立项</w:t>
      </w:r>
      <w:r>
        <w:rPr>
          <w:rFonts w:cs="Times New Roman" w:asciiTheme="minorEastAsia" w:hAnsiTheme="minorEastAsia"/>
          <w:kern w:val="0"/>
          <w:sz w:val="28"/>
          <w:szCs w:val="28"/>
        </w:rPr>
        <w:t>建设工作。现将</w:t>
      </w:r>
      <w:r>
        <w:rPr>
          <w:rFonts w:hint="eastAsia" w:cs="Times New Roman" w:asciiTheme="minorEastAsia" w:hAnsiTheme="minorEastAsia"/>
          <w:kern w:val="0"/>
          <w:sz w:val="28"/>
          <w:szCs w:val="28"/>
        </w:rPr>
        <w:t>相关事宜</w:t>
      </w:r>
      <w:r>
        <w:rPr>
          <w:rFonts w:cs="Times New Roman" w:asciiTheme="minorEastAsia" w:hAnsiTheme="minorEastAsia"/>
          <w:kern w:val="0"/>
          <w:sz w:val="28"/>
          <w:szCs w:val="28"/>
        </w:rPr>
        <w:t>通知如下：</w:t>
      </w:r>
      <w:r>
        <w:rPr>
          <w:rFonts w:cs="宋体" w:asciiTheme="minorEastAsia" w:hAnsiTheme="minorEastAsia"/>
          <w:kern w:val="0"/>
          <w:sz w:val="28"/>
          <w:szCs w:val="28"/>
        </w:rPr>
        <w:t xml:space="preserve"> </w:t>
      </w:r>
    </w:p>
    <w:p>
      <w:pPr>
        <w:widowControl/>
        <w:spacing w:line="500" w:lineRule="exact"/>
        <w:ind w:firstLine="540"/>
        <w:jc w:val="left"/>
        <w:rPr>
          <w:rFonts w:cs="宋体" w:asciiTheme="minorEastAsia" w:hAnsiTheme="minorEastAsia"/>
          <w:kern w:val="0"/>
          <w:sz w:val="28"/>
          <w:szCs w:val="28"/>
        </w:rPr>
      </w:pPr>
      <w:r>
        <w:rPr>
          <w:rFonts w:cs="Times New Roman" w:asciiTheme="minorEastAsia" w:hAnsiTheme="minorEastAsia"/>
          <w:b/>
          <w:bCs/>
          <w:kern w:val="0"/>
          <w:sz w:val="28"/>
          <w:szCs w:val="28"/>
        </w:rPr>
        <w:t>一、</w:t>
      </w:r>
      <w:r>
        <w:rPr>
          <w:rFonts w:hint="eastAsia" w:cs="Times New Roman" w:asciiTheme="minorEastAsia" w:hAnsiTheme="minorEastAsia"/>
          <w:b/>
          <w:bCs/>
          <w:kern w:val="0"/>
          <w:sz w:val="28"/>
          <w:szCs w:val="28"/>
        </w:rPr>
        <w:t>申报条件</w:t>
      </w:r>
      <w:r>
        <w:rPr>
          <w:rFonts w:cs="宋体" w:asciiTheme="minorEastAsia" w:hAnsiTheme="minorEastAsia"/>
          <w:kern w:val="0"/>
          <w:sz w:val="28"/>
          <w:szCs w:val="28"/>
        </w:rPr>
        <w:t xml:space="preserve"> </w:t>
      </w:r>
    </w:p>
    <w:p>
      <w:pPr>
        <w:spacing w:line="500" w:lineRule="exact"/>
        <w:ind w:firstLine="560" w:firstLineChars="200"/>
        <w:rPr>
          <w:rFonts w:cs="宋体" w:asciiTheme="minorEastAsia" w:hAnsiTheme="minorEastAsia"/>
          <w:kern w:val="0"/>
          <w:sz w:val="28"/>
          <w:szCs w:val="28"/>
          <w:u w:val="single"/>
        </w:rPr>
      </w:pPr>
      <w:r>
        <w:rPr>
          <w:rFonts w:cs="Times New Roman" w:asciiTheme="minorEastAsia" w:hAnsiTheme="minorEastAsia"/>
          <w:kern w:val="0"/>
          <w:sz w:val="28"/>
          <w:szCs w:val="28"/>
        </w:rPr>
        <w:t>1</w:t>
      </w:r>
      <w:r>
        <w:rPr>
          <w:rFonts w:hint="eastAsia" w:cs="Times New Roman" w:asciiTheme="minorEastAsia" w:hAnsiTheme="minorEastAsia"/>
          <w:kern w:val="0"/>
          <w:sz w:val="28"/>
          <w:szCs w:val="28"/>
        </w:rPr>
        <w:t>. 案例库的建设以课程为依托，</w:t>
      </w:r>
      <w:r>
        <w:rPr>
          <w:rFonts w:hint="eastAsia" w:cs="宋体" w:asciiTheme="minorEastAsia" w:hAnsiTheme="minorEastAsia"/>
          <w:kern w:val="0"/>
          <w:sz w:val="28"/>
          <w:szCs w:val="28"/>
        </w:rPr>
        <w:t>范围包括我校专业学位研究生培养方案中的专业基础课及近三年选课人数在20人以上的专业选修课。</w:t>
      </w:r>
    </w:p>
    <w:p>
      <w:pPr>
        <w:widowControl/>
        <w:spacing w:line="500" w:lineRule="exact"/>
        <w:ind w:firstLine="540"/>
        <w:jc w:val="left"/>
        <w:rPr>
          <w:rFonts w:cs="Times New Roman" w:asciiTheme="minorEastAsia" w:hAnsiTheme="minorEastAsia"/>
          <w:kern w:val="0"/>
          <w:sz w:val="28"/>
          <w:szCs w:val="28"/>
        </w:rPr>
      </w:pPr>
      <w:r>
        <w:rPr>
          <w:rFonts w:hint="eastAsia" w:cs="Times New Roman" w:asciiTheme="minorEastAsia" w:hAnsiTheme="minorEastAsia"/>
          <w:kern w:val="0"/>
          <w:sz w:val="28"/>
          <w:szCs w:val="28"/>
        </w:rPr>
        <w:t>2. 项目负责人应具有副高职称及丰富的实践经验，系统讲授过所申报的课程，熟知案例教学的基本规范。</w:t>
      </w:r>
    </w:p>
    <w:p>
      <w:pPr>
        <w:widowControl/>
        <w:spacing w:line="500" w:lineRule="exact"/>
        <w:ind w:firstLine="540"/>
        <w:jc w:val="left"/>
        <w:rPr>
          <w:rFonts w:cs="Times New Roman" w:asciiTheme="minorEastAsia" w:hAnsiTheme="minorEastAsia"/>
          <w:kern w:val="0"/>
          <w:sz w:val="28"/>
          <w:szCs w:val="28"/>
        </w:rPr>
      </w:pPr>
      <w:r>
        <w:rPr>
          <w:rFonts w:hint="eastAsia" w:cs="Times New Roman" w:asciiTheme="minorEastAsia" w:hAnsiTheme="minorEastAsia"/>
          <w:kern w:val="0"/>
          <w:sz w:val="28"/>
          <w:szCs w:val="28"/>
        </w:rPr>
        <w:t>3. 所依托课程应具备稳定的教学团队，团队成员中至少有一名具有副高级及以上职称的行业专家参加，且团队成员应与相关行业有联合培养研究生或项目合作经历。</w:t>
      </w:r>
    </w:p>
    <w:p>
      <w:pPr>
        <w:spacing w:line="560" w:lineRule="exact"/>
        <w:ind w:firstLine="560" w:firstLineChars="200"/>
        <w:rPr>
          <w:rFonts w:hint="eastAsia" w:ascii="宋体" w:hAnsi="宋体" w:cs="仿宋_GB2312"/>
          <w:color w:val="000000"/>
          <w:kern w:val="0"/>
          <w:sz w:val="28"/>
          <w:szCs w:val="28"/>
        </w:rPr>
      </w:pPr>
      <w:r>
        <w:rPr>
          <w:rFonts w:cs="Times New Roman" w:asciiTheme="minorEastAsia" w:hAnsiTheme="minorEastAsia"/>
          <w:kern w:val="0"/>
          <w:sz w:val="28"/>
          <w:szCs w:val="28"/>
        </w:rPr>
        <w:t>4</w:t>
      </w:r>
      <w:r>
        <w:rPr>
          <w:rFonts w:hint="eastAsia" w:cs="Times New Roman" w:asciiTheme="minorEastAsia" w:hAnsiTheme="minorEastAsia"/>
          <w:kern w:val="0"/>
          <w:sz w:val="28"/>
          <w:szCs w:val="28"/>
        </w:rPr>
        <w:t xml:space="preserve">. </w:t>
      </w:r>
      <w:r>
        <w:rPr>
          <w:rFonts w:hint="eastAsia" w:ascii="宋体" w:hAnsi="宋体" w:cs="宋体"/>
          <w:kern w:val="0"/>
          <w:sz w:val="28"/>
          <w:szCs w:val="28"/>
        </w:rPr>
        <w:t>尚未结题项目主持人，不能以项目主持人身份参加本次项目的申报。</w:t>
      </w:r>
    </w:p>
    <w:p>
      <w:pPr>
        <w:widowControl/>
        <w:spacing w:line="500" w:lineRule="exact"/>
        <w:ind w:firstLine="540"/>
        <w:jc w:val="left"/>
        <w:rPr>
          <w:rFonts w:cs="Times New Roman" w:asciiTheme="minorEastAsia" w:hAnsiTheme="minorEastAsia"/>
          <w:b/>
          <w:bCs/>
          <w:kern w:val="0"/>
          <w:sz w:val="28"/>
          <w:szCs w:val="28"/>
        </w:rPr>
      </w:pPr>
      <w:r>
        <w:rPr>
          <w:rFonts w:cs="宋体" w:asciiTheme="minorEastAsia" w:hAnsiTheme="minorEastAsia"/>
          <w:kern w:val="0"/>
          <w:sz w:val="28"/>
          <w:szCs w:val="28"/>
        </w:rPr>
        <w:t xml:space="preserve"> </w:t>
      </w:r>
      <w:r>
        <w:rPr>
          <w:rFonts w:hint="eastAsia" w:cs="Times New Roman" w:asciiTheme="minorEastAsia" w:hAnsiTheme="minorEastAsia"/>
          <w:b/>
          <w:bCs/>
          <w:kern w:val="0"/>
          <w:sz w:val="28"/>
          <w:szCs w:val="28"/>
        </w:rPr>
        <w:t>二、建设要求</w:t>
      </w:r>
    </w:p>
    <w:p>
      <w:pPr>
        <w:widowControl/>
        <w:spacing w:line="500" w:lineRule="exact"/>
        <w:ind w:firstLine="540"/>
        <w:jc w:val="left"/>
        <w:rPr>
          <w:rFonts w:cs="Times New Roman" w:asciiTheme="minorEastAsia" w:hAnsiTheme="minorEastAsia"/>
          <w:kern w:val="0"/>
          <w:sz w:val="28"/>
          <w:szCs w:val="28"/>
        </w:rPr>
      </w:pPr>
      <w:r>
        <w:rPr>
          <w:rFonts w:hint="eastAsia" w:cs="Times New Roman" w:asciiTheme="minorEastAsia" w:hAnsiTheme="minorEastAsia"/>
          <w:kern w:val="0"/>
          <w:sz w:val="28"/>
          <w:szCs w:val="28"/>
        </w:rPr>
        <w:t>1. 案例构成。案例库中的案例形式应多样，每个案例库至少应包含10个案例（案例讲授学时占所依托课程的学时不少于50%）。 具体编写要求参考见《案例编写内容参考》（附件3）。</w:t>
      </w:r>
    </w:p>
    <w:p>
      <w:pPr>
        <w:widowControl/>
        <w:spacing w:line="500" w:lineRule="exact"/>
        <w:ind w:firstLine="540"/>
        <w:jc w:val="left"/>
        <w:rPr>
          <w:rFonts w:cs="Times New Roman" w:asciiTheme="minorEastAsia" w:hAnsiTheme="minorEastAsia"/>
          <w:kern w:val="0"/>
          <w:sz w:val="28"/>
          <w:szCs w:val="28"/>
        </w:rPr>
      </w:pPr>
      <w:r>
        <w:rPr>
          <w:rFonts w:hint="eastAsia" w:cs="Times New Roman" w:asciiTheme="minorEastAsia" w:hAnsiTheme="minorEastAsia"/>
          <w:kern w:val="0"/>
          <w:sz w:val="28"/>
          <w:szCs w:val="28"/>
        </w:rPr>
        <w:t>2. 案例设计。案例库中的案例，应当根据所依托的专业学位的特点，以提升学生的职业能力为导向，面向特定职业领域，在案例选题、背景资料、课堂计划、分析思路等方面，反映相关行业工作实践对专业学位研究生课程的需求，如教学实践、生产建设、研究设计、经营管理等，注重培养学生适应相应专业岗位的综合素质。应符合系统性、实践性、启发性、真实性、典型性、前沿性、创新性等要求。</w:t>
      </w:r>
    </w:p>
    <w:p>
      <w:pPr>
        <w:widowControl/>
        <w:spacing w:line="500" w:lineRule="exact"/>
        <w:ind w:firstLine="540"/>
        <w:jc w:val="left"/>
        <w:rPr>
          <w:rFonts w:cs="Times New Roman" w:asciiTheme="minorEastAsia" w:hAnsiTheme="minorEastAsia"/>
          <w:kern w:val="0"/>
          <w:sz w:val="28"/>
          <w:szCs w:val="28"/>
        </w:rPr>
      </w:pPr>
      <w:r>
        <w:rPr>
          <w:rFonts w:hint="eastAsia" w:cs="Times New Roman" w:asciiTheme="minorEastAsia" w:hAnsiTheme="minorEastAsia"/>
          <w:kern w:val="0"/>
          <w:sz w:val="28"/>
          <w:szCs w:val="28"/>
        </w:rPr>
        <w:t>3. 通过评审予以立项的案例库的知识产权归武汉科技大学及编写者。</w:t>
      </w:r>
    </w:p>
    <w:p>
      <w:pPr>
        <w:widowControl/>
        <w:spacing w:line="500" w:lineRule="exact"/>
        <w:ind w:firstLine="542"/>
        <w:jc w:val="left"/>
        <w:rPr>
          <w:rFonts w:cs="Times New Roman" w:asciiTheme="minorEastAsia" w:hAnsiTheme="minorEastAsia"/>
          <w:b/>
          <w:kern w:val="0"/>
          <w:sz w:val="28"/>
          <w:szCs w:val="28"/>
        </w:rPr>
      </w:pPr>
      <w:r>
        <w:rPr>
          <w:rFonts w:hint="eastAsia" w:cs="Times New Roman" w:asciiTheme="minorEastAsia" w:hAnsiTheme="minorEastAsia"/>
          <w:b/>
          <w:bCs/>
          <w:kern w:val="0"/>
          <w:sz w:val="28"/>
          <w:szCs w:val="28"/>
        </w:rPr>
        <w:t>三、</w:t>
      </w:r>
      <w:r>
        <w:rPr>
          <w:rFonts w:hint="eastAsia" w:cs="Times New Roman" w:asciiTheme="minorEastAsia" w:hAnsiTheme="minorEastAsia"/>
          <w:b/>
          <w:kern w:val="0"/>
          <w:sz w:val="28"/>
          <w:szCs w:val="28"/>
        </w:rPr>
        <w:t>时间安排</w:t>
      </w:r>
    </w:p>
    <w:p>
      <w:pPr>
        <w:widowControl/>
        <w:spacing w:line="500" w:lineRule="exact"/>
        <w:ind w:firstLine="537" w:firstLineChars="192"/>
        <w:jc w:val="left"/>
        <w:rPr>
          <w:rFonts w:cs="Times New Roman" w:asciiTheme="minorEastAsia" w:hAnsiTheme="minorEastAsia"/>
          <w:kern w:val="0"/>
          <w:sz w:val="28"/>
          <w:szCs w:val="28"/>
        </w:rPr>
      </w:pPr>
      <w:r>
        <w:rPr>
          <w:rFonts w:hint="eastAsia" w:cs="Times New Roman" w:asciiTheme="minorEastAsia" w:hAnsiTheme="minorEastAsia"/>
          <w:kern w:val="0"/>
          <w:sz w:val="28"/>
          <w:szCs w:val="28"/>
        </w:rPr>
        <w:t>1．各培养单位于201</w:t>
      </w:r>
      <w:r>
        <w:rPr>
          <w:rFonts w:hint="eastAsia" w:cs="Times New Roman" w:asciiTheme="minorEastAsia" w:hAnsiTheme="minorEastAsia"/>
          <w:kern w:val="0"/>
          <w:sz w:val="28"/>
          <w:szCs w:val="28"/>
          <w:lang w:val="en-US" w:eastAsia="zh-CN"/>
        </w:rPr>
        <w:t>9</w:t>
      </w:r>
      <w:r>
        <w:rPr>
          <w:rFonts w:hint="eastAsia" w:cs="Times New Roman" w:asciiTheme="minorEastAsia" w:hAnsiTheme="minorEastAsia"/>
          <w:kern w:val="0"/>
          <w:sz w:val="28"/>
          <w:szCs w:val="28"/>
        </w:rPr>
        <w:t>年</w:t>
      </w:r>
      <w:r>
        <w:rPr>
          <w:rFonts w:hint="eastAsia" w:cs="Times New Roman" w:asciiTheme="minorEastAsia" w:hAnsiTheme="minorEastAsia"/>
          <w:kern w:val="0"/>
          <w:sz w:val="28"/>
          <w:szCs w:val="28"/>
          <w:lang w:val="en-US" w:eastAsia="zh-CN"/>
        </w:rPr>
        <w:t>4</w:t>
      </w:r>
      <w:r>
        <w:rPr>
          <w:rFonts w:hint="eastAsia" w:cs="Times New Roman" w:asciiTheme="minorEastAsia" w:hAnsiTheme="minorEastAsia"/>
          <w:kern w:val="0"/>
          <w:sz w:val="28"/>
          <w:szCs w:val="28"/>
        </w:rPr>
        <w:t>月</w:t>
      </w:r>
      <w:r>
        <w:rPr>
          <w:rFonts w:hint="eastAsia" w:cs="Times New Roman" w:asciiTheme="minorEastAsia" w:hAnsiTheme="minorEastAsia"/>
          <w:kern w:val="0"/>
          <w:sz w:val="28"/>
          <w:szCs w:val="28"/>
          <w:lang w:val="en-US" w:eastAsia="zh-CN"/>
        </w:rPr>
        <w:t>15</w:t>
      </w:r>
      <w:r>
        <w:rPr>
          <w:rFonts w:hint="eastAsia" w:cs="Times New Roman" w:asciiTheme="minorEastAsia" w:hAnsiTheme="minorEastAsia"/>
          <w:kern w:val="0"/>
          <w:sz w:val="28"/>
          <w:szCs w:val="28"/>
        </w:rPr>
        <w:t>日前汇总本单位的</w:t>
      </w:r>
      <w:r>
        <w:rPr>
          <w:rFonts w:cs="Times New Roman" w:asciiTheme="minorEastAsia" w:hAnsiTheme="minorEastAsia"/>
          <w:kern w:val="0"/>
          <w:sz w:val="28"/>
          <w:szCs w:val="28"/>
        </w:rPr>
        <w:t>《武汉</w:t>
      </w:r>
      <w:r>
        <w:rPr>
          <w:rFonts w:hint="eastAsia" w:cs="Times New Roman" w:asciiTheme="minorEastAsia" w:hAnsiTheme="minorEastAsia"/>
          <w:kern w:val="0"/>
          <w:sz w:val="28"/>
          <w:szCs w:val="28"/>
        </w:rPr>
        <w:t>科技</w:t>
      </w:r>
      <w:r>
        <w:rPr>
          <w:rFonts w:cs="Times New Roman" w:asciiTheme="minorEastAsia" w:hAnsiTheme="minorEastAsia"/>
          <w:kern w:val="0"/>
          <w:sz w:val="28"/>
          <w:szCs w:val="28"/>
        </w:rPr>
        <w:t>大学专业学位研究生课程案例</w:t>
      </w:r>
      <w:r>
        <w:rPr>
          <w:rFonts w:hint="eastAsia" w:cs="Times New Roman" w:asciiTheme="minorEastAsia" w:hAnsiTheme="minorEastAsia"/>
          <w:kern w:val="0"/>
          <w:sz w:val="28"/>
          <w:szCs w:val="28"/>
        </w:rPr>
        <w:t>库</w:t>
      </w:r>
      <w:r>
        <w:rPr>
          <w:rFonts w:cs="Times New Roman" w:asciiTheme="minorEastAsia" w:hAnsiTheme="minorEastAsia"/>
          <w:kern w:val="0"/>
          <w:sz w:val="28"/>
          <w:szCs w:val="28"/>
        </w:rPr>
        <w:t>立项申报表》（见附件）</w:t>
      </w:r>
      <w:r>
        <w:rPr>
          <w:rFonts w:hint="eastAsia" w:cs="Times New Roman" w:asciiTheme="minorEastAsia" w:hAnsiTheme="minorEastAsia"/>
          <w:kern w:val="0"/>
          <w:sz w:val="28"/>
          <w:szCs w:val="28"/>
        </w:rPr>
        <w:t>并填写推荐意见后，将申报材料电子版及纸质版各一份提交至研究生院</w:t>
      </w:r>
      <w:r>
        <w:rPr>
          <w:rFonts w:hint="eastAsia" w:cs="Times New Roman" w:asciiTheme="minorEastAsia" w:hAnsiTheme="minorEastAsia"/>
          <w:kern w:val="0"/>
          <w:sz w:val="28"/>
          <w:szCs w:val="28"/>
          <w:lang w:eastAsia="zh-CN"/>
        </w:rPr>
        <w:t>。</w:t>
      </w:r>
    </w:p>
    <w:p>
      <w:pPr>
        <w:widowControl/>
        <w:spacing w:line="500" w:lineRule="exact"/>
        <w:ind w:firstLine="560" w:firstLineChars="200"/>
        <w:jc w:val="left"/>
        <w:rPr>
          <w:rFonts w:cs="Times New Roman" w:asciiTheme="minorEastAsia" w:hAnsiTheme="minorEastAsia"/>
          <w:kern w:val="0"/>
          <w:sz w:val="28"/>
          <w:szCs w:val="28"/>
        </w:rPr>
      </w:pPr>
      <w:r>
        <w:rPr>
          <w:rFonts w:hint="eastAsia" w:cs="Times New Roman" w:asciiTheme="minorEastAsia" w:hAnsiTheme="minorEastAsia"/>
          <w:kern w:val="0"/>
          <w:sz w:val="28"/>
          <w:szCs w:val="28"/>
        </w:rPr>
        <w:t>2．</w:t>
      </w:r>
      <w:r>
        <w:rPr>
          <w:rFonts w:hint="eastAsia" w:ascii="宋体" w:hAnsi="宋体" w:cs="宋体"/>
          <w:kern w:val="0"/>
          <w:sz w:val="28"/>
          <w:szCs w:val="28"/>
        </w:rPr>
        <w:t>研究生院</w:t>
      </w:r>
      <w:r>
        <w:rPr>
          <w:rFonts w:hint="eastAsia" w:ascii="宋体" w:hAnsi="宋体" w:cs="宋体"/>
          <w:kern w:val="0"/>
          <w:sz w:val="28"/>
          <w:szCs w:val="28"/>
          <w:lang w:eastAsia="zh-CN"/>
        </w:rPr>
        <w:t>组织</w:t>
      </w:r>
      <w:r>
        <w:rPr>
          <w:rFonts w:hint="eastAsia" w:ascii="宋体" w:hAnsi="宋体" w:cs="宋体"/>
          <w:kern w:val="0"/>
          <w:sz w:val="28"/>
          <w:szCs w:val="28"/>
        </w:rPr>
        <w:t>专家进行评审，</w:t>
      </w:r>
      <w:r>
        <w:rPr>
          <w:rFonts w:hint="eastAsia" w:ascii="宋体" w:hAnsi="宋体"/>
          <w:kern w:val="0"/>
          <w:sz w:val="28"/>
          <w:szCs w:val="28"/>
        </w:rPr>
        <w:t>通过评审的项目经公示后</w:t>
      </w:r>
      <w:r>
        <w:rPr>
          <w:rFonts w:hint="eastAsia" w:ascii="宋体" w:hAnsi="宋体"/>
          <w:kern w:val="0"/>
          <w:sz w:val="28"/>
          <w:szCs w:val="28"/>
          <w:lang w:eastAsia="zh-CN"/>
        </w:rPr>
        <w:t>，报学校批准</w:t>
      </w:r>
      <w:r>
        <w:rPr>
          <w:rFonts w:hint="eastAsia" w:ascii="宋体" w:hAnsi="宋体"/>
          <w:kern w:val="0"/>
          <w:sz w:val="28"/>
          <w:szCs w:val="28"/>
        </w:rPr>
        <w:t>立项建设</w:t>
      </w:r>
      <w:r>
        <w:rPr>
          <w:rFonts w:hint="eastAsia" w:ascii="宋体" w:hAnsi="宋体" w:cs="宋体"/>
          <w:kern w:val="0"/>
          <w:sz w:val="28"/>
          <w:szCs w:val="28"/>
        </w:rPr>
        <w:t>。</w:t>
      </w:r>
    </w:p>
    <w:p>
      <w:pPr>
        <w:widowControl/>
        <w:spacing w:line="500" w:lineRule="exact"/>
        <w:ind w:firstLine="542"/>
        <w:jc w:val="left"/>
        <w:rPr>
          <w:rFonts w:cs="Times New Roman" w:asciiTheme="minorEastAsia" w:hAnsiTheme="minorEastAsia"/>
          <w:b/>
          <w:bCs/>
          <w:color w:val="000000"/>
          <w:kern w:val="0"/>
          <w:sz w:val="28"/>
          <w:szCs w:val="28"/>
        </w:rPr>
      </w:pPr>
      <w:r>
        <w:rPr>
          <w:rFonts w:hint="eastAsia" w:cs="Times New Roman" w:asciiTheme="minorEastAsia" w:hAnsiTheme="minorEastAsia"/>
          <w:b/>
          <w:bCs/>
          <w:color w:val="000000"/>
          <w:kern w:val="0"/>
          <w:sz w:val="28"/>
          <w:szCs w:val="28"/>
        </w:rPr>
        <w:t>四、经费支持及使用要求</w:t>
      </w:r>
    </w:p>
    <w:p>
      <w:pPr>
        <w:widowControl/>
        <w:spacing w:line="500" w:lineRule="exact"/>
        <w:ind w:firstLine="560" w:firstLineChars="200"/>
        <w:jc w:val="left"/>
        <w:rPr>
          <w:rFonts w:cs="Times New Roman" w:asciiTheme="minorEastAsia" w:hAnsiTheme="minorEastAsia"/>
          <w:color w:val="000000"/>
          <w:kern w:val="0"/>
          <w:sz w:val="28"/>
          <w:szCs w:val="28"/>
        </w:rPr>
      </w:pPr>
      <w:r>
        <w:rPr>
          <w:rFonts w:hint="eastAsia" w:cs="Times New Roman" w:asciiTheme="minorEastAsia" w:hAnsiTheme="minorEastAsia"/>
          <w:color w:val="000000"/>
          <w:kern w:val="0"/>
          <w:sz w:val="28"/>
          <w:szCs w:val="28"/>
        </w:rPr>
        <w:t>1.学校对批准立项建设的课程案例库项目每项拟</w:t>
      </w:r>
      <w:r>
        <w:rPr>
          <w:rFonts w:hint="eastAsia" w:cs="Times New Roman" w:asciiTheme="minorEastAsia" w:hAnsiTheme="minorEastAsia"/>
          <w:color w:val="auto"/>
          <w:kern w:val="0"/>
          <w:sz w:val="28"/>
          <w:szCs w:val="28"/>
        </w:rPr>
        <w:t>给</w:t>
      </w:r>
      <w:r>
        <w:rPr>
          <w:rFonts w:hint="eastAsia" w:cs="Times New Roman" w:asciiTheme="minorEastAsia" w:hAnsiTheme="minorEastAsia"/>
          <w:color w:val="auto"/>
          <w:kern w:val="0"/>
          <w:sz w:val="28"/>
          <w:szCs w:val="28"/>
          <w:highlight w:val="none"/>
        </w:rPr>
        <w:t>予</w:t>
      </w:r>
      <w:r>
        <w:rPr>
          <w:rFonts w:hint="eastAsia" w:cs="Times New Roman" w:asciiTheme="minorEastAsia" w:hAnsiTheme="minorEastAsia"/>
          <w:color w:val="auto"/>
          <w:kern w:val="0"/>
          <w:sz w:val="28"/>
          <w:szCs w:val="28"/>
          <w:highlight w:val="none"/>
          <w:lang w:val="en-US" w:eastAsia="zh-CN"/>
        </w:rPr>
        <w:t>2</w:t>
      </w:r>
      <w:r>
        <w:rPr>
          <w:rFonts w:hint="eastAsia" w:cs="Times New Roman" w:asciiTheme="minorEastAsia" w:hAnsiTheme="minorEastAsia"/>
          <w:color w:val="auto"/>
          <w:kern w:val="0"/>
          <w:sz w:val="28"/>
          <w:szCs w:val="28"/>
          <w:highlight w:val="none"/>
        </w:rPr>
        <w:t>万元的</w:t>
      </w:r>
      <w:r>
        <w:rPr>
          <w:rFonts w:hint="eastAsia" w:cs="Times New Roman" w:asciiTheme="minorEastAsia" w:hAnsiTheme="minorEastAsia"/>
          <w:color w:val="000000"/>
          <w:kern w:val="0"/>
          <w:sz w:val="28"/>
          <w:szCs w:val="28"/>
        </w:rPr>
        <w:t>经费资助，建设周期为自立项之日起</w:t>
      </w:r>
      <w:r>
        <w:rPr>
          <w:rFonts w:hint="eastAsia" w:cs="Times New Roman" w:asciiTheme="minorEastAsia" w:hAnsiTheme="minorEastAsia"/>
          <w:color w:val="000000"/>
          <w:kern w:val="0"/>
          <w:sz w:val="28"/>
          <w:szCs w:val="28"/>
          <w:lang w:eastAsia="zh-CN"/>
        </w:rPr>
        <w:t>一年</w:t>
      </w:r>
      <w:r>
        <w:rPr>
          <w:rFonts w:hint="eastAsia" w:cs="Times New Roman" w:asciiTheme="minorEastAsia" w:hAnsiTheme="minorEastAsia"/>
          <w:color w:val="000000"/>
          <w:kern w:val="0"/>
          <w:sz w:val="28"/>
          <w:szCs w:val="28"/>
        </w:rPr>
        <w:t>。</w:t>
      </w:r>
    </w:p>
    <w:p>
      <w:pPr>
        <w:widowControl/>
        <w:spacing w:line="500" w:lineRule="exact"/>
        <w:ind w:firstLine="560" w:firstLineChars="200"/>
        <w:jc w:val="left"/>
        <w:rPr>
          <w:rFonts w:cs="Times New Roman" w:asciiTheme="minorEastAsia" w:hAnsiTheme="minorEastAsia"/>
          <w:color w:val="auto"/>
          <w:kern w:val="0"/>
          <w:sz w:val="28"/>
          <w:szCs w:val="28"/>
        </w:rPr>
      </w:pPr>
      <w:r>
        <w:rPr>
          <w:rFonts w:hint="eastAsia" w:cs="Times New Roman" w:asciiTheme="minorEastAsia" w:hAnsiTheme="minorEastAsia"/>
          <w:color w:val="000000"/>
          <w:kern w:val="0"/>
          <w:sz w:val="28"/>
          <w:szCs w:val="28"/>
        </w:rPr>
        <w:t>2</w:t>
      </w:r>
      <w:r>
        <w:rPr>
          <w:rFonts w:hint="eastAsia" w:cs="Times New Roman" w:asciiTheme="minorEastAsia" w:hAnsiTheme="minorEastAsia"/>
          <w:color w:val="000000"/>
          <w:kern w:val="0"/>
          <w:sz w:val="28"/>
          <w:szCs w:val="28"/>
          <w:lang w:eastAsia="zh-CN"/>
        </w:rPr>
        <w:t>.</w:t>
      </w:r>
      <w:r>
        <w:rPr>
          <w:rFonts w:hint="eastAsia" w:cs="Times New Roman" w:asciiTheme="minorEastAsia" w:hAnsiTheme="minorEastAsia"/>
          <w:color w:val="000000"/>
          <w:kern w:val="0"/>
          <w:sz w:val="28"/>
          <w:szCs w:val="28"/>
        </w:rPr>
        <w:t>资助经费主要用于课程教学案例汇编、课件制作调研培训、课程案例资料（参考书、教学软件等）购置</w:t>
      </w:r>
      <w:r>
        <w:rPr>
          <w:rFonts w:hint="eastAsia" w:cs="Times New Roman" w:asciiTheme="minorEastAsia" w:hAnsiTheme="minorEastAsia"/>
          <w:color w:val="auto"/>
          <w:kern w:val="0"/>
          <w:sz w:val="28"/>
          <w:szCs w:val="28"/>
        </w:rPr>
        <w:t>复印等</w:t>
      </w:r>
      <w:r>
        <w:rPr>
          <w:rFonts w:hint="eastAsia" w:cs="Times New Roman" w:asciiTheme="minorEastAsia" w:hAnsiTheme="minorEastAsia"/>
          <w:color w:val="auto"/>
          <w:kern w:val="0"/>
          <w:sz w:val="28"/>
          <w:szCs w:val="28"/>
          <w:lang w:eastAsia="zh-CN"/>
        </w:rPr>
        <w:t>，具体参照</w:t>
      </w:r>
      <w:r>
        <w:rPr>
          <w:rFonts w:hint="eastAsia" w:ascii="宋体" w:hAnsi="宋体"/>
          <w:b/>
          <w:bCs w:val="0"/>
          <w:color w:val="auto"/>
          <w:sz w:val="28"/>
          <w:szCs w:val="28"/>
          <w:lang w:eastAsia="zh-CN"/>
        </w:rPr>
        <w:t>武科大教〔2017〕63号</w:t>
      </w:r>
      <w:r>
        <w:rPr>
          <w:rFonts w:hint="eastAsia" w:ascii="宋体" w:hAnsi="宋体"/>
          <w:bCs/>
          <w:color w:val="auto"/>
          <w:sz w:val="28"/>
          <w:szCs w:val="28"/>
          <w:lang w:eastAsia="zh-CN"/>
        </w:rPr>
        <w:t>《武汉科技大学教学建设与改革项目经费使用管理办法（试行）》相关规定执行。</w:t>
      </w:r>
    </w:p>
    <w:p>
      <w:pPr>
        <w:widowControl/>
        <w:spacing w:line="500" w:lineRule="exact"/>
        <w:ind w:firstLine="562" w:firstLineChars="200"/>
        <w:jc w:val="left"/>
        <w:rPr>
          <w:rFonts w:cs="Times New Roman" w:asciiTheme="minorEastAsia" w:hAnsiTheme="minorEastAsia"/>
          <w:b/>
          <w:color w:val="000000"/>
          <w:kern w:val="0"/>
          <w:sz w:val="28"/>
          <w:szCs w:val="28"/>
        </w:rPr>
      </w:pPr>
      <w:r>
        <w:rPr>
          <w:rFonts w:hint="eastAsia" w:cs="Times New Roman" w:asciiTheme="minorEastAsia" w:hAnsiTheme="minorEastAsia"/>
          <w:b/>
          <w:color w:val="000000"/>
          <w:kern w:val="0"/>
          <w:sz w:val="28"/>
          <w:szCs w:val="28"/>
        </w:rPr>
        <w:t>五、检查与验收</w:t>
      </w:r>
    </w:p>
    <w:p>
      <w:pPr>
        <w:widowControl/>
        <w:spacing w:line="500" w:lineRule="exact"/>
        <w:ind w:firstLine="540"/>
        <w:jc w:val="left"/>
        <w:rPr>
          <w:rFonts w:cs="Times New Roman" w:asciiTheme="minorEastAsia" w:hAnsiTheme="minorEastAsia"/>
          <w:color w:val="000000"/>
          <w:kern w:val="0"/>
          <w:sz w:val="28"/>
          <w:szCs w:val="28"/>
        </w:rPr>
      </w:pPr>
      <w:r>
        <w:rPr>
          <w:rFonts w:hint="eastAsia" w:cs="Times New Roman" w:asciiTheme="minorEastAsia" w:hAnsiTheme="minorEastAsia"/>
          <w:color w:val="000000"/>
          <w:kern w:val="0"/>
          <w:sz w:val="28"/>
          <w:szCs w:val="28"/>
        </w:rPr>
        <w:t>案例库立项一年后进行中期检查，建设期截止后进行结题验收。</w:t>
      </w:r>
    </w:p>
    <w:p>
      <w:pPr>
        <w:widowControl/>
        <w:spacing w:line="500" w:lineRule="exact"/>
        <w:ind w:firstLine="420" w:firstLineChars="150"/>
        <w:jc w:val="left"/>
        <w:rPr>
          <w:rFonts w:cs="Times New Roman" w:asciiTheme="minorEastAsia" w:hAnsiTheme="minorEastAsia"/>
          <w:color w:val="000000"/>
          <w:kern w:val="0"/>
          <w:sz w:val="28"/>
          <w:szCs w:val="28"/>
        </w:rPr>
      </w:pPr>
      <w:r>
        <w:rPr>
          <w:rFonts w:hint="eastAsia" w:cs="Times New Roman" w:asciiTheme="minorEastAsia" w:hAnsiTheme="minorEastAsia"/>
          <w:color w:val="000000"/>
          <w:kern w:val="0"/>
          <w:sz w:val="28"/>
          <w:szCs w:val="28"/>
        </w:rPr>
        <w:t xml:space="preserve">（一）中期检查 </w:t>
      </w:r>
    </w:p>
    <w:p>
      <w:pPr>
        <w:widowControl/>
        <w:spacing w:line="500" w:lineRule="exact"/>
        <w:ind w:firstLine="540"/>
        <w:jc w:val="left"/>
        <w:rPr>
          <w:rFonts w:cs="Times New Roman" w:asciiTheme="minorEastAsia" w:hAnsiTheme="minorEastAsia"/>
          <w:color w:val="000000"/>
          <w:kern w:val="0"/>
          <w:sz w:val="28"/>
          <w:szCs w:val="28"/>
        </w:rPr>
      </w:pPr>
      <w:r>
        <w:rPr>
          <w:rFonts w:hint="eastAsia" w:cs="Times New Roman" w:asciiTheme="minorEastAsia" w:hAnsiTheme="minorEastAsia"/>
          <w:color w:val="000000"/>
          <w:kern w:val="0"/>
          <w:sz w:val="28"/>
          <w:szCs w:val="28"/>
        </w:rPr>
        <w:t>项目立项后视课程授课情况进行中期检查。中期检查形式为课堂教学效果检查和案例库建设进度检查，组织学生填写《专业学位研究生课程案例教学效果调查表》（见附件4），并组织集中汇报案例库建设进度。</w:t>
      </w:r>
    </w:p>
    <w:p>
      <w:pPr>
        <w:widowControl/>
        <w:spacing w:line="500" w:lineRule="exact"/>
        <w:ind w:firstLine="420" w:firstLineChars="150"/>
        <w:jc w:val="left"/>
        <w:rPr>
          <w:rFonts w:cs="Times New Roman" w:asciiTheme="minorEastAsia" w:hAnsiTheme="minorEastAsia"/>
          <w:color w:val="000000"/>
          <w:kern w:val="0"/>
          <w:sz w:val="28"/>
          <w:szCs w:val="28"/>
        </w:rPr>
      </w:pPr>
      <w:r>
        <w:rPr>
          <w:rFonts w:hint="eastAsia" w:cs="Times New Roman" w:asciiTheme="minorEastAsia" w:hAnsiTheme="minorEastAsia"/>
          <w:color w:val="000000"/>
          <w:kern w:val="0"/>
          <w:sz w:val="28"/>
          <w:szCs w:val="28"/>
        </w:rPr>
        <w:t>（二）结项验收</w:t>
      </w:r>
    </w:p>
    <w:p>
      <w:pPr>
        <w:widowControl/>
        <w:spacing w:line="500" w:lineRule="exact"/>
        <w:ind w:firstLine="540"/>
        <w:jc w:val="left"/>
        <w:rPr>
          <w:rFonts w:cs="Times New Roman" w:asciiTheme="minorEastAsia" w:hAnsiTheme="minorEastAsia"/>
          <w:color w:val="000000"/>
          <w:kern w:val="0"/>
          <w:sz w:val="28"/>
          <w:szCs w:val="28"/>
        </w:rPr>
      </w:pPr>
      <w:r>
        <w:rPr>
          <w:rFonts w:hint="eastAsia" w:cs="Times New Roman" w:asciiTheme="minorEastAsia" w:hAnsiTheme="minorEastAsia"/>
          <w:color w:val="000000"/>
          <w:kern w:val="0"/>
          <w:sz w:val="28"/>
          <w:szCs w:val="28"/>
        </w:rPr>
        <w:t>验收时需提交案例库文本一式一份和电子文档一份，以及多媒体课件一份。验收方式为汇报与成果展示。案例库的成果以多媒体课件的形式予以展示，课件应做到文字、图片、表格、动画、视频相结合。鼓励在案例库的基础上形成案例教材或讲义。</w:t>
      </w:r>
    </w:p>
    <w:p>
      <w:pPr>
        <w:widowControl/>
        <w:spacing w:line="500" w:lineRule="exact"/>
        <w:ind w:firstLine="540"/>
        <w:jc w:val="left"/>
        <w:rPr>
          <w:rFonts w:cs="Times New Roman" w:asciiTheme="minorEastAsia" w:hAnsiTheme="minorEastAsia"/>
          <w:color w:val="000000"/>
          <w:kern w:val="0"/>
          <w:sz w:val="28"/>
          <w:szCs w:val="28"/>
        </w:rPr>
      </w:pPr>
      <w:r>
        <w:rPr>
          <w:rFonts w:hint="eastAsia" w:cs="Times New Roman" w:asciiTheme="minorEastAsia" w:hAnsiTheme="minorEastAsia"/>
          <w:color w:val="000000"/>
          <w:kern w:val="0"/>
          <w:sz w:val="28"/>
          <w:szCs w:val="28"/>
        </w:rPr>
        <w:t>验收合格的案例库在研究生院和项目负责人所在学院备案，并保证案例库在教学中的运用。通过案例库的建设逐步建立起以案例教学为特色的专业学位研究生课程教学与能力培养体系。</w:t>
      </w:r>
    </w:p>
    <w:p>
      <w:pPr>
        <w:widowControl/>
        <w:spacing w:line="500" w:lineRule="exact"/>
        <w:ind w:firstLine="540"/>
        <w:jc w:val="left"/>
        <w:rPr>
          <w:rFonts w:cs="Times New Roman" w:asciiTheme="minorEastAsia" w:hAnsiTheme="minorEastAsia"/>
          <w:color w:val="000000"/>
          <w:kern w:val="0"/>
          <w:sz w:val="28"/>
          <w:szCs w:val="28"/>
        </w:rPr>
      </w:pPr>
      <w:r>
        <w:rPr>
          <w:rFonts w:hint="eastAsia" w:cs="Times New Roman" w:asciiTheme="minorEastAsia" w:hAnsiTheme="minorEastAsia"/>
          <w:color w:val="000000"/>
          <w:kern w:val="0"/>
          <w:sz w:val="28"/>
          <w:szCs w:val="28"/>
        </w:rPr>
        <w:t>案例库</w:t>
      </w:r>
      <w:r>
        <w:rPr>
          <w:rFonts w:cs="Times New Roman" w:asciiTheme="minorEastAsia" w:hAnsiTheme="minorEastAsia"/>
          <w:color w:val="000000"/>
          <w:kern w:val="0"/>
          <w:sz w:val="28"/>
          <w:szCs w:val="28"/>
        </w:rPr>
        <w:t>建设期间，</w:t>
      </w:r>
      <w:r>
        <w:rPr>
          <w:rFonts w:hint="eastAsia" w:cs="Times New Roman" w:asciiTheme="minorEastAsia" w:hAnsiTheme="minorEastAsia"/>
          <w:color w:val="000000"/>
          <w:kern w:val="0"/>
          <w:sz w:val="28"/>
          <w:szCs w:val="28"/>
        </w:rPr>
        <w:t>通过</w:t>
      </w:r>
      <w:r>
        <w:rPr>
          <w:rFonts w:cs="Times New Roman" w:asciiTheme="minorEastAsia" w:hAnsiTheme="minorEastAsia"/>
          <w:color w:val="000000"/>
          <w:kern w:val="0"/>
          <w:sz w:val="28"/>
          <w:szCs w:val="28"/>
        </w:rPr>
        <w:t>中期考核和结题验收</w:t>
      </w:r>
      <w:r>
        <w:rPr>
          <w:rFonts w:hint="eastAsia" w:cs="Times New Roman" w:asciiTheme="minorEastAsia" w:hAnsiTheme="minorEastAsia"/>
          <w:color w:val="000000"/>
          <w:kern w:val="0"/>
          <w:sz w:val="28"/>
          <w:szCs w:val="28"/>
        </w:rPr>
        <w:t>，</w:t>
      </w:r>
      <w:r>
        <w:rPr>
          <w:rFonts w:cs="Times New Roman" w:asciiTheme="minorEastAsia" w:hAnsiTheme="minorEastAsia"/>
          <w:color w:val="000000"/>
          <w:kern w:val="0"/>
          <w:sz w:val="28"/>
          <w:szCs w:val="28"/>
        </w:rPr>
        <w:t>对于</w:t>
      </w:r>
      <w:r>
        <w:rPr>
          <w:rFonts w:hint="eastAsia" w:cs="Times New Roman" w:asciiTheme="minorEastAsia" w:hAnsiTheme="minorEastAsia"/>
          <w:color w:val="000000"/>
          <w:kern w:val="0"/>
          <w:sz w:val="28"/>
          <w:szCs w:val="28"/>
        </w:rPr>
        <w:t>未开展工作或</w:t>
      </w:r>
      <w:r>
        <w:rPr>
          <w:rFonts w:cs="Times New Roman" w:asciiTheme="minorEastAsia" w:hAnsiTheme="minorEastAsia"/>
          <w:color w:val="000000"/>
          <w:kern w:val="0"/>
          <w:sz w:val="28"/>
          <w:szCs w:val="28"/>
        </w:rPr>
        <w:t>建设不力</w:t>
      </w:r>
      <w:r>
        <w:rPr>
          <w:rFonts w:hint="eastAsia" w:cs="Times New Roman" w:asciiTheme="minorEastAsia" w:hAnsiTheme="minorEastAsia"/>
          <w:color w:val="000000"/>
          <w:kern w:val="0"/>
          <w:sz w:val="28"/>
          <w:szCs w:val="28"/>
        </w:rPr>
        <w:t>者</w:t>
      </w:r>
      <w:r>
        <w:rPr>
          <w:rFonts w:cs="Times New Roman" w:asciiTheme="minorEastAsia" w:hAnsiTheme="minorEastAsia"/>
          <w:color w:val="000000"/>
          <w:kern w:val="0"/>
          <w:sz w:val="28"/>
          <w:szCs w:val="28"/>
        </w:rPr>
        <w:t>取消其</w:t>
      </w:r>
      <w:r>
        <w:rPr>
          <w:rFonts w:hint="eastAsia" w:cs="Times New Roman" w:asciiTheme="minorEastAsia" w:hAnsiTheme="minorEastAsia"/>
          <w:color w:val="000000"/>
          <w:kern w:val="0"/>
          <w:sz w:val="28"/>
          <w:szCs w:val="28"/>
        </w:rPr>
        <w:t>立项</w:t>
      </w:r>
      <w:r>
        <w:rPr>
          <w:rFonts w:cs="Times New Roman" w:asciiTheme="minorEastAsia" w:hAnsiTheme="minorEastAsia"/>
          <w:color w:val="000000"/>
          <w:kern w:val="0"/>
          <w:sz w:val="28"/>
          <w:szCs w:val="28"/>
        </w:rPr>
        <w:t>资格，并</w:t>
      </w:r>
      <w:r>
        <w:rPr>
          <w:rFonts w:hint="eastAsia" w:cs="Times New Roman" w:asciiTheme="minorEastAsia" w:hAnsiTheme="minorEastAsia"/>
          <w:color w:val="000000"/>
          <w:kern w:val="0"/>
          <w:sz w:val="28"/>
          <w:szCs w:val="28"/>
        </w:rPr>
        <w:t>退回已资助经费，同时</w:t>
      </w:r>
      <w:r>
        <w:rPr>
          <w:rFonts w:cs="Times New Roman" w:asciiTheme="minorEastAsia" w:hAnsiTheme="minorEastAsia"/>
          <w:color w:val="000000"/>
          <w:kern w:val="0"/>
          <w:sz w:val="28"/>
          <w:szCs w:val="28"/>
        </w:rPr>
        <w:t>终止</w:t>
      </w:r>
      <w:r>
        <w:rPr>
          <w:rFonts w:hint="eastAsia" w:cs="Times New Roman" w:asciiTheme="minorEastAsia" w:hAnsiTheme="minorEastAsia"/>
          <w:color w:val="000000"/>
          <w:kern w:val="0"/>
          <w:sz w:val="28"/>
          <w:szCs w:val="28"/>
        </w:rPr>
        <w:t>后期</w:t>
      </w:r>
      <w:r>
        <w:rPr>
          <w:rFonts w:cs="Times New Roman" w:asciiTheme="minorEastAsia" w:hAnsiTheme="minorEastAsia"/>
          <w:color w:val="000000"/>
          <w:kern w:val="0"/>
          <w:sz w:val="28"/>
          <w:szCs w:val="28"/>
        </w:rPr>
        <w:t>经费资助。</w:t>
      </w:r>
    </w:p>
    <w:p>
      <w:pPr>
        <w:widowControl/>
        <w:spacing w:line="500" w:lineRule="exact"/>
        <w:ind w:firstLine="562" w:firstLineChars="200"/>
        <w:jc w:val="left"/>
        <w:rPr>
          <w:rFonts w:cs="Times New Roman" w:asciiTheme="minorEastAsia" w:hAnsiTheme="minorEastAsia"/>
          <w:b/>
          <w:color w:val="000000"/>
          <w:kern w:val="0"/>
          <w:sz w:val="28"/>
          <w:szCs w:val="28"/>
        </w:rPr>
      </w:pPr>
      <w:r>
        <w:rPr>
          <w:rFonts w:hint="eastAsia" w:cs="Times New Roman" w:asciiTheme="minorEastAsia" w:hAnsiTheme="minorEastAsia"/>
          <w:b/>
          <w:color w:val="000000"/>
          <w:kern w:val="0"/>
          <w:sz w:val="28"/>
          <w:szCs w:val="28"/>
          <w:lang w:eastAsia="zh-CN"/>
        </w:rPr>
        <w:t>六</w:t>
      </w:r>
      <w:r>
        <w:rPr>
          <w:rFonts w:hint="eastAsia" w:cs="Times New Roman" w:asciiTheme="minorEastAsia" w:hAnsiTheme="minorEastAsia"/>
          <w:b/>
          <w:color w:val="000000"/>
          <w:kern w:val="0"/>
          <w:sz w:val="28"/>
          <w:szCs w:val="28"/>
        </w:rPr>
        <w:t>、</w:t>
      </w:r>
      <w:r>
        <w:rPr>
          <w:rFonts w:hint="eastAsia" w:cs="Times New Roman" w:asciiTheme="minorEastAsia" w:hAnsiTheme="minorEastAsia"/>
          <w:b/>
          <w:color w:val="000000"/>
          <w:kern w:val="0"/>
          <w:sz w:val="28"/>
          <w:szCs w:val="28"/>
          <w:lang w:eastAsia="zh-CN"/>
        </w:rPr>
        <w:t>其它</w:t>
      </w:r>
    </w:p>
    <w:p>
      <w:pPr>
        <w:widowControl/>
        <w:spacing w:line="500" w:lineRule="exact"/>
        <w:ind w:firstLine="540"/>
        <w:jc w:val="left"/>
        <w:rPr>
          <w:rFonts w:cs="宋体" w:asciiTheme="minorEastAsia" w:hAnsiTheme="minorEastAsia"/>
          <w:kern w:val="0"/>
          <w:sz w:val="28"/>
          <w:szCs w:val="28"/>
        </w:rPr>
      </w:pPr>
      <w:r>
        <w:rPr>
          <w:rFonts w:hint="eastAsia" w:cs="Times New Roman" w:asciiTheme="minorEastAsia" w:hAnsiTheme="minorEastAsia"/>
          <w:kern w:val="0"/>
          <w:sz w:val="28"/>
          <w:szCs w:val="28"/>
          <w:lang w:val="en-US" w:eastAsia="zh-CN"/>
        </w:rPr>
        <w:t>1、</w:t>
      </w:r>
      <w:r>
        <w:rPr>
          <w:rFonts w:hint="eastAsia" w:cs="Times New Roman" w:asciiTheme="minorEastAsia" w:hAnsiTheme="minorEastAsia"/>
          <w:kern w:val="0"/>
          <w:sz w:val="28"/>
          <w:szCs w:val="28"/>
        </w:rPr>
        <w:t>根据教研[2015]1号文件精神，</w:t>
      </w:r>
      <w:r>
        <w:rPr>
          <w:rFonts w:hint="eastAsia" w:cs="Times New Roman" w:asciiTheme="minorEastAsia" w:hAnsiTheme="minorEastAsia"/>
          <w:b/>
          <w:kern w:val="0"/>
          <w:sz w:val="28"/>
          <w:szCs w:val="28"/>
        </w:rPr>
        <w:t>案例教学将作为专业学位授权点合格评估的重要内容之一</w:t>
      </w:r>
      <w:r>
        <w:rPr>
          <w:rFonts w:hint="eastAsia" w:cs="Times New Roman" w:asciiTheme="minorEastAsia" w:hAnsiTheme="minorEastAsia"/>
          <w:kern w:val="0"/>
          <w:sz w:val="28"/>
          <w:szCs w:val="28"/>
        </w:rPr>
        <w:t>，</w:t>
      </w:r>
      <w:r>
        <w:rPr>
          <w:rFonts w:cs="Times New Roman" w:asciiTheme="minorEastAsia" w:hAnsiTheme="minorEastAsia"/>
          <w:kern w:val="0"/>
          <w:sz w:val="28"/>
          <w:szCs w:val="28"/>
        </w:rPr>
        <w:t>请各研究生培养单位按照学校的统一要求，高度重视</w:t>
      </w:r>
      <w:r>
        <w:rPr>
          <w:rFonts w:hint="eastAsia" w:cs="Times New Roman" w:asciiTheme="minorEastAsia" w:hAnsiTheme="minorEastAsia"/>
          <w:kern w:val="0"/>
          <w:sz w:val="28"/>
          <w:szCs w:val="28"/>
        </w:rPr>
        <w:t>专业学位</w:t>
      </w:r>
      <w:r>
        <w:rPr>
          <w:rFonts w:cs="Times New Roman" w:asciiTheme="minorEastAsia" w:hAnsiTheme="minorEastAsia"/>
          <w:kern w:val="0"/>
          <w:sz w:val="28"/>
          <w:szCs w:val="28"/>
        </w:rPr>
        <w:t>研究生</w:t>
      </w:r>
      <w:r>
        <w:rPr>
          <w:rFonts w:hint="eastAsia" w:cs="Times New Roman" w:asciiTheme="minorEastAsia" w:hAnsiTheme="minorEastAsia"/>
          <w:kern w:val="0"/>
          <w:sz w:val="28"/>
          <w:szCs w:val="28"/>
        </w:rPr>
        <w:t>课程</w:t>
      </w:r>
      <w:r>
        <w:rPr>
          <w:rFonts w:cs="Times New Roman" w:asciiTheme="minorEastAsia" w:hAnsiTheme="minorEastAsia"/>
          <w:kern w:val="0"/>
          <w:sz w:val="28"/>
          <w:szCs w:val="28"/>
        </w:rPr>
        <w:t>案例</w:t>
      </w:r>
      <w:r>
        <w:rPr>
          <w:rFonts w:hint="eastAsia" w:cs="Times New Roman" w:asciiTheme="minorEastAsia" w:hAnsiTheme="minorEastAsia"/>
          <w:kern w:val="0"/>
          <w:sz w:val="28"/>
          <w:szCs w:val="28"/>
        </w:rPr>
        <w:t>库</w:t>
      </w:r>
      <w:r>
        <w:rPr>
          <w:rFonts w:cs="Times New Roman" w:asciiTheme="minorEastAsia" w:hAnsiTheme="minorEastAsia"/>
          <w:kern w:val="0"/>
          <w:sz w:val="28"/>
          <w:szCs w:val="28"/>
        </w:rPr>
        <w:t>立项</w:t>
      </w:r>
      <w:r>
        <w:rPr>
          <w:rFonts w:hint="eastAsia" w:cs="Times New Roman" w:asciiTheme="minorEastAsia" w:hAnsiTheme="minorEastAsia"/>
          <w:kern w:val="0"/>
          <w:sz w:val="28"/>
          <w:szCs w:val="28"/>
        </w:rPr>
        <w:t>建设</w:t>
      </w:r>
      <w:r>
        <w:rPr>
          <w:rFonts w:cs="Times New Roman" w:asciiTheme="minorEastAsia" w:hAnsiTheme="minorEastAsia"/>
          <w:kern w:val="0"/>
          <w:sz w:val="28"/>
          <w:szCs w:val="28"/>
        </w:rPr>
        <w:t>工作，积极组织本单位</w:t>
      </w:r>
      <w:r>
        <w:rPr>
          <w:rFonts w:hint="eastAsia" w:cs="Times New Roman" w:asciiTheme="minorEastAsia" w:hAnsiTheme="minorEastAsia"/>
          <w:kern w:val="0"/>
          <w:sz w:val="28"/>
          <w:szCs w:val="28"/>
        </w:rPr>
        <w:t>教师进行</w:t>
      </w:r>
      <w:r>
        <w:rPr>
          <w:rFonts w:cs="Times New Roman" w:asciiTheme="minorEastAsia" w:hAnsiTheme="minorEastAsia"/>
          <w:kern w:val="0"/>
          <w:sz w:val="28"/>
          <w:szCs w:val="28"/>
        </w:rPr>
        <w:t>申报。</w:t>
      </w:r>
      <w:r>
        <w:rPr>
          <w:rFonts w:cs="宋体" w:asciiTheme="minorEastAsia" w:hAnsiTheme="minorEastAsia"/>
          <w:kern w:val="0"/>
          <w:sz w:val="28"/>
          <w:szCs w:val="28"/>
        </w:rPr>
        <w:t xml:space="preserve"> </w:t>
      </w:r>
    </w:p>
    <w:p>
      <w:pPr>
        <w:widowControl/>
        <w:spacing w:line="500" w:lineRule="exact"/>
        <w:ind w:firstLine="540"/>
        <w:jc w:val="left"/>
        <w:rPr>
          <w:rFonts w:hint="eastAsia" w:cs="宋体" w:asciiTheme="minorEastAsia" w:hAnsiTheme="minorEastAsia" w:eastAsiaTheme="minorEastAsia"/>
          <w:kern w:val="0"/>
          <w:sz w:val="28"/>
          <w:szCs w:val="28"/>
          <w:lang w:val="en-US" w:eastAsia="zh-CN"/>
        </w:rPr>
      </w:pPr>
      <w:r>
        <w:rPr>
          <w:rFonts w:hint="eastAsia" w:cs="宋体" w:asciiTheme="minorEastAsia" w:hAnsiTheme="minorEastAsia"/>
          <w:kern w:val="0"/>
          <w:sz w:val="28"/>
          <w:szCs w:val="28"/>
          <w:lang w:val="en-US" w:eastAsia="zh-CN"/>
        </w:rPr>
        <w:t>2、验收通过者原则上须申报国家级专业学位案例，获批国家级专业学位案例者，将按照学校相关规定予以奖励。</w:t>
      </w:r>
    </w:p>
    <w:p>
      <w:pPr>
        <w:widowControl/>
        <w:spacing w:line="500" w:lineRule="exact"/>
        <w:ind w:firstLine="540"/>
        <w:jc w:val="left"/>
        <w:rPr>
          <w:rFonts w:cs="宋体" w:asciiTheme="minorEastAsia" w:hAnsiTheme="minorEastAsia"/>
          <w:kern w:val="0"/>
          <w:sz w:val="28"/>
          <w:szCs w:val="28"/>
        </w:rPr>
      </w:pPr>
    </w:p>
    <w:p>
      <w:pPr>
        <w:widowControl/>
        <w:spacing w:line="500" w:lineRule="exact"/>
        <w:jc w:val="left"/>
        <w:rPr>
          <w:rFonts w:cs="宋体" w:asciiTheme="minorEastAsia" w:hAnsiTheme="minorEastAsia"/>
          <w:kern w:val="0"/>
          <w:sz w:val="28"/>
          <w:szCs w:val="28"/>
        </w:rPr>
      </w:pPr>
    </w:p>
    <w:p>
      <w:pPr>
        <w:widowControl/>
        <w:spacing w:line="500" w:lineRule="exact"/>
        <w:ind w:left="1260" w:hanging="1260" w:hangingChars="450"/>
        <w:jc w:val="left"/>
        <w:rPr>
          <w:rFonts w:cs="宋体" w:asciiTheme="minorEastAsia" w:hAnsiTheme="minorEastAsia"/>
          <w:kern w:val="0"/>
          <w:sz w:val="28"/>
          <w:szCs w:val="28"/>
        </w:rPr>
      </w:pPr>
      <w:r>
        <w:rPr>
          <w:rFonts w:hint="eastAsia" w:cs="宋体" w:asciiTheme="minorEastAsia" w:hAnsiTheme="minorEastAsia"/>
          <w:kern w:val="0"/>
          <w:sz w:val="28"/>
          <w:szCs w:val="28"/>
        </w:rPr>
        <w:t>附件：1.</w:t>
      </w:r>
      <w:r>
        <w:rPr>
          <w:rFonts w:hint="eastAsia" w:cs="Times New Roman" w:asciiTheme="minorEastAsia" w:hAnsiTheme="minorEastAsia"/>
          <w:kern w:val="0"/>
          <w:sz w:val="28"/>
          <w:szCs w:val="28"/>
        </w:rPr>
        <w:t>《教育部关于加强专业学位研究生案例教学和联合培养基地建设的意见》（教研[2015]1号）</w:t>
      </w:r>
    </w:p>
    <w:p>
      <w:pPr>
        <w:widowControl/>
        <w:spacing w:line="500" w:lineRule="exact"/>
        <w:ind w:firstLine="840" w:firstLineChars="300"/>
        <w:jc w:val="left"/>
        <w:rPr>
          <w:rFonts w:cs="Times New Roman" w:asciiTheme="minorEastAsia" w:hAnsiTheme="minorEastAsia"/>
          <w:kern w:val="0"/>
          <w:sz w:val="28"/>
          <w:szCs w:val="28"/>
        </w:rPr>
      </w:pPr>
      <w:r>
        <w:rPr>
          <w:rFonts w:hint="eastAsia" w:cs="宋体" w:asciiTheme="minorEastAsia" w:hAnsiTheme="minorEastAsia"/>
          <w:kern w:val="0"/>
          <w:sz w:val="28"/>
          <w:szCs w:val="28"/>
        </w:rPr>
        <w:t>2.《</w:t>
      </w:r>
      <w:r>
        <w:rPr>
          <w:rFonts w:cs="Times New Roman" w:asciiTheme="minorEastAsia" w:hAnsiTheme="minorEastAsia"/>
          <w:kern w:val="0"/>
          <w:sz w:val="28"/>
          <w:szCs w:val="28"/>
        </w:rPr>
        <w:t>武汉</w:t>
      </w:r>
      <w:r>
        <w:rPr>
          <w:rFonts w:hint="eastAsia" w:cs="Times New Roman" w:asciiTheme="minorEastAsia" w:hAnsiTheme="minorEastAsia"/>
          <w:kern w:val="0"/>
          <w:sz w:val="28"/>
          <w:szCs w:val="28"/>
        </w:rPr>
        <w:t>科技</w:t>
      </w:r>
      <w:r>
        <w:rPr>
          <w:rFonts w:cs="Times New Roman" w:asciiTheme="minorEastAsia" w:hAnsiTheme="minorEastAsia"/>
          <w:kern w:val="0"/>
          <w:sz w:val="28"/>
          <w:szCs w:val="28"/>
        </w:rPr>
        <w:t>大学专业学位研究生课程案例</w:t>
      </w:r>
      <w:r>
        <w:rPr>
          <w:rFonts w:hint="eastAsia" w:cs="Times New Roman" w:asciiTheme="minorEastAsia" w:hAnsiTheme="minorEastAsia"/>
          <w:kern w:val="0"/>
          <w:sz w:val="28"/>
          <w:szCs w:val="28"/>
        </w:rPr>
        <w:t>库</w:t>
      </w:r>
      <w:r>
        <w:rPr>
          <w:rFonts w:cs="Times New Roman" w:asciiTheme="minorEastAsia" w:hAnsiTheme="minorEastAsia"/>
          <w:kern w:val="0"/>
          <w:sz w:val="28"/>
          <w:szCs w:val="28"/>
        </w:rPr>
        <w:t>立项</w:t>
      </w:r>
      <w:r>
        <w:rPr>
          <w:rFonts w:hint="eastAsia" w:cs="Times New Roman" w:asciiTheme="minorEastAsia" w:hAnsiTheme="minorEastAsia"/>
          <w:kern w:val="0"/>
          <w:sz w:val="28"/>
          <w:szCs w:val="28"/>
        </w:rPr>
        <w:t>建设</w:t>
      </w:r>
      <w:r>
        <w:rPr>
          <w:rFonts w:cs="Times New Roman" w:asciiTheme="minorEastAsia" w:hAnsiTheme="minorEastAsia"/>
          <w:kern w:val="0"/>
          <w:sz w:val="28"/>
          <w:szCs w:val="28"/>
        </w:rPr>
        <w:t>申报表》</w:t>
      </w:r>
    </w:p>
    <w:p>
      <w:pPr>
        <w:widowControl/>
        <w:tabs>
          <w:tab w:val="left" w:pos="709"/>
        </w:tabs>
        <w:spacing w:line="500" w:lineRule="exact"/>
        <w:jc w:val="left"/>
        <w:rPr>
          <w:rFonts w:cs="Times New Roman" w:asciiTheme="minorEastAsia" w:hAnsiTheme="minorEastAsia"/>
          <w:kern w:val="0"/>
          <w:sz w:val="28"/>
          <w:szCs w:val="28"/>
        </w:rPr>
      </w:pPr>
      <w:r>
        <w:rPr>
          <w:rFonts w:hint="eastAsia" w:cs="Times New Roman" w:asciiTheme="minorEastAsia" w:hAnsiTheme="minorEastAsia"/>
          <w:kern w:val="0"/>
          <w:sz w:val="28"/>
          <w:szCs w:val="28"/>
        </w:rPr>
        <w:t xml:space="preserve">      3.《案例编写内容参考》</w:t>
      </w:r>
    </w:p>
    <w:p>
      <w:pPr>
        <w:widowControl/>
        <w:tabs>
          <w:tab w:val="left" w:pos="709"/>
        </w:tabs>
        <w:spacing w:line="500" w:lineRule="exact"/>
        <w:jc w:val="left"/>
        <w:rPr>
          <w:rFonts w:cs="Times New Roman" w:asciiTheme="minorEastAsia" w:hAnsiTheme="minorEastAsia"/>
          <w:kern w:val="0"/>
          <w:sz w:val="28"/>
          <w:szCs w:val="28"/>
        </w:rPr>
      </w:pPr>
      <w:r>
        <w:rPr>
          <w:rFonts w:hint="eastAsia" w:cs="Times New Roman" w:asciiTheme="minorEastAsia" w:hAnsiTheme="minorEastAsia"/>
          <w:kern w:val="0"/>
          <w:sz w:val="28"/>
          <w:szCs w:val="28"/>
        </w:rPr>
        <w:t xml:space="preserve">     </w:t>
      </w:r>
      <w:r>
        <w:rPr>
          <w:rFonts w:hint="eastAsia" w:cs="宋体" w:asciiTheme="minorEastAsia" w:hAnsiTheme="minorEastAsia"/>
          <w:kern w:val="0"/>
          <w:sz w:val="28"/>
          <w:szCs w:val="28"/>
        </w:rPr>
        <w:t xml:space="preserve"> 4.《专业学位研究生课程案例教学效果调查表》</w:t>
      </w:r>
    </w:p>
    <w:p>
      <w:pPr>
        <w:widowControl/>
        <w:spacing w:line="500" w:lineRule="exact"/>
        <w:jc w:val="right"/>
        <w:rPr>
          <w:rFonts w:cs="Times New Roman" w:asciiTheme="minorEastAsia" w:hAnsiTheme="minorEastAsia"/>
          <w:kern w:val="0"/>
          <w:sz w:val="28"/>
          <w:szCs w:val="28"/>
        </w:rPr>
      </w:pPr>
    </w:p>
    <w:p>
      <w:pPr>
        <w:widowControl/>
        <w:spacing w:line="500" w:lineRule="exact"/>
        <w:jc w:val="right"/>
        <w:rPr>
          <w:rFonts w:cs="Times New Roman" w:asciiTheme="minorEastAsia" w:hAnsiTheme="minorEastAsia"/>
          <w:kern w:val="0"/>
          <w:sz w:val="28"/>
          <w:szCs w:val="28"/>
        </w:rPr>
      </w:pPr>
    </w:p>
    <w:p>
      <w:pPr>
        <w:widowControl/>
        <w:spacing w:line="500" w:lineRule="exact"/>
        <w:ind w:left="5460" w:leftChars="2600" w:right="480" w:firstLine="560" w:firstLineChars="200"/>
        <w:jc w:val="left"/>
        <w:rPr>
          <w:rFonts w:cs="Times New Roman" w:asciiTheme="minorEastAsia" w:hAnsiTheme="minorEastAsia"/>
          <w:b/>
          <w:bCs/>
          <w:kern w:val="0"/>
          <w:sz w:val="28"/>
          <w:szCs w:val="28"/>
        </w:rPr>
      </w:pPr>
      <w:r>
        <w:rPr>
          <w:rFonts w:cs="Times New Roman" w:asciiTheme="minorEastAsia" w:hAnsiTheme="minorEastAsia"/>
          <w:kern w:val="0"/>
          <w:sz w:val="28"/>
          <w:szCs w:val="28"/>
        </w:rPr>
        <w:t>研究生院</w:t>
      </w:r>
      <w:r>
        <w:rPr>
          <w:rFonts w:hint="eastAsia" w:cs="Times New Roman" w:asciiTheme="minorEastAsia" w:hAnsiTheme="minorEastAsia"/>
          <w:kern w:val="0"/>
          <w:sz w:val="28"/>
          <w:szCs w:val="28"/>
        </w:rPr>
        <w:t xml:space="preserve">           </w:t>
      </w:r>
      <w:r>
        <w:rPr>
          <w:rFonts w:cs="Times New Roman" w:asciiTheme="minorEastAsia" w:hAnsiTheme="minorEastAsia"/>
          <w:kern w:val="0"/>
          <w:sz w:val="28"/>
          <w:szCs w:val="28"/>
        </w:rPr>
        <w:t>201</w:t>
      </w:r>
      <w:r>
        <w:rPr>
          <w:rFonts w:hint="eastAsia" w:cs="Times New Roman" w:asciiTheme="minorEastAsia" w:hAnsiTheme="minorEastAsia"/>
          <w:kern w:val="0"/>
          <w:sz w:val="28"/>
          <w:szCs w:val="28"/>
          <w:lang w:val="en-US" w:eastAsia="zh-CN"/>
        </w:rPr>
        <w:t>9</w:t>
      </w:r>
      <w:r>
        <w:rPr>
          <w:rFonts w:cs="Times New Roman" w:asciiTheme="minorEastAsia" w:hAnsiTheme="minorEastAsia"/>
          <w:kern w:val="0"/>
          <w:sz w:val="28"/>
          <w:szCs w:val="28"/>
        </w:rPr>
        <w:t>年</w:t>
      </w:r>
      <w:r>
        <w:rPr>
          <w:rFonts w:hint="eastAsia" w:cs="Times New Roman" w:asciiTheme="minorEastAsia" w:hAnsiTheme="minorEastAsia"/>
          <w:kern w:val="0"/>
          <w:sz w:val="28"/>
          <w:szCs w:val="28"/>
          <w:lang w:val="en-US" w:eastAsia="zh-CN"/>
        </w:rPr>
        <w:t>3</w:t>
      </w:r>
      <w:r>
        <w:rPr>
          <w:rFonts w:hint="eastAsia" w:cs="Times New Roman" w:asciiTheme="minorEastAsia" w:hAnsiTheme="minorEastAsia"/>
          <w:kern w:val="0"/>
          <w:sz w:val="28"/>
          <w:szCs w:val="28"/>
        </w:rPr>
        <w:t>月</w:t>
      </w:r>
      <w:r>
        <w:rPr>
          <w:rFonts w:hint="eastAsia" w:cs="Times New Roman" w:asciiTheme="minorEastAsia" w:hAnsiTheme="minorEastAsia"/>
          <w:kern w:val="0"/>
          <w:sz w:val="28"/>
          <w:szCs w:val="28"/>
          <w:lang w:val="en-US" w:eastAsia="zh-CN"/>
        </w:rPr>
        <w:t>18</w:t>
      </w:r>
      <w:bookmarkStart w:id="0" w:name="_GoBack"/>
      <w:bookmarkEnd w:id="0"/>
      <w:r>
        <w:rPr>
          <w:rFonts w:cs="Times New Roman" w:asciiTheme="minorEastAsia" w:hAnsiTheme="minorEastAsia"/>
          <w:kern w:val="0"/>
          <w:sz w:val="28"/>
          <w:szCs w:val="28"/>
        </w:rPr>
        <w:t xml:space="preserve"> 日</w:t>
      </w:r>
    </w:p>
    <w:sectPr>
      <w:pgSz w:w="11906" w:h="16838"/>
      <w:pgMar w:top="1440" w:right="1701" w:bottom="1134"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D4D9C"/>
    <w:rsid w:val="00046CE6"/>
    <w:rsid w:val="00053D00"/>
    <w:rsid w:val="000635EB"/>
    <w:rsid w:val="00064492"/>
    <w:rsid w:val="00067A77"/>
    <w:rsid w:val="00071B48"/>
    <w:rsid w:val="00084784"/>
    <w:rsid w:val="000C13C8"/>
    <w:rsid w:val="000D4D9C"/>
    <w:rsid w:val="000F46C4"/>
    <w:rsid w:val="00180CD1"/>
    <w:rsid w:val="002103E1"/>
    <w:rsid w:val="0022167E"/>
    <w:rsid w:val="00223CFC"/>
    <w:rsid w:val="002D0053"/>
    <w:rsid w:val="003102FD"/>
    <w:rsid w:val="003445A6"/>
    <w:rsid w:val="0037034F"/>
    <w:rsid w:val="003C3AA2"/>
    <w:rsid w:val="003E365C"/>
    <w:rsid w:val="004030F4"/>
    <w:rsid w:val="00454A49"/>
    <w:rsid w:val="004602F2"/>
    <w:rsid w:val="00462927"/>
    <w:rsid w:val="00483820"/>
    <w:rsid w:val="004945D9"/>
    <w:rsid w:val="004A19F1"/>
    <w:rsid w:val="00522D2D"/>
    <w:rsid w:val="0056085D"/>
    <w:rsid w:val="00584229"/>
    <w:rsid w:val="0058792E"/>
    <w:rsid w:val="005E0FA5"/>
    <w:rsid w:val="00683BAA"/>
    <w:rsid w:val="006946E0"/>
    <w:rsid w:val="006D799E"/>
    <w:rsid w:val="0078436A"/>
    <w:rsid w:val="007D1DF7"/>
    <w:rsid w:val="007E18EA"/>
    <w:rsid w:val="007E7ABA"/>
    <w:rsid w:val="008116EA"/>
    <w:rsid w:val="008D3482"/>
    <w:rsid w:val="008F785F"/>
    <w:rsid w:val="00936AE0"/>
    <w:rsid w:val="00952A42"/>
    <w:rsid w:val="009635FB"/>
    <w:rsid w:val="00967642"/>
    <w:rsid w:val="00991D8C"/>
    <w:rsid w:val="009C29C6"/>
    <w:rsid w:val="00AA6411"/>
    <w:rsid w:val="00AC2D92"/>
    <w:rsid w:val="00AC315F"/>
    <w:rsid w:val="00AE0072"/>
    <w:rsid w:val="00B16794"/>
    <w:rsid w:val="00B32B65"/>
    <w:rsid w:val="00B36BCA"/>
    <w:rsid w:val="00B56490"/>
    <w:rsid w:val="00C05A15"/>
    <w:rsid w:val="00C215C1"/>
    <w:rsid w:val="00C24CD3"/>
    <w:rsid w:val="00C3429F"/>
    <w:rsid w:val="00C469DB"/>
    <w:rsid w:val="00C8521D"/>
    <w:rsid w:val="00C9114D"/>
    <w:rsid w:val="00CC565A"/>
    <w:rsid w:val="00CC5981"/>
    <w:rsid w:val="00CD783B"/>
    <w:rsid w:val="00D05430"/>
    <w:rsid w:val="00D60C06"/>
    <w:rsid w:val="00D7049E"/>
    <w:rsid w:val="00D927EA"/>
    <w:rsid w:val="00D93B52"/>
    <w:rsid w:val="00DB2CDA"/>
    <w:rsid w:val="00E44FD8"/>
    <w:rsid w:val="00E85FA9"/>
    <w:rsid w:val="00E87B6B"/>
    <w:rsid w:val="00EB1E87"/>
    <w:rsid w:val="00ED688D"/>
    <w:rsid w:val="00F46F63"/>
    <w:rsid w:val="00F535BB"/>
    <w:rsid w:val="00F5416F"/>
    <w:rsid w:val="00FA2EA7"/>
    <w:rsid w:val="00FE3342"/>
    <w:rsid w:val="00FE3B4D"/>
    <w:rsid w:val="0101674B"/>
    <w:rsid w:val="02004635"/>
    <w:rsid w:val="060F5E2B"/>
    <w:rsid w:val="19E5179C"/>
    <w:rsid w:val="4E4B2299"/>
    <w:rsid w:val="515C53BB"/>
    <w:rsid w:val="6BF601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unhideWhenUsed/>
    <w:qFormat/>
    <w:uiPriority w:val="1"/>
  </w:style>
  <w:style w:type="table" w:default="1" w:styleId="2">
    <w:name w:val="Normal Table"/>
    <w:unhideWhenUsed/>
    <w:qFormat/>
    <w:uiPriority w:val="99"/>
    <w:tblPr>
      <w:tblLayout w:type="fixed"/>
      <w:tblCellMar>
        <w:top w:w="0" w:type="dxa"/>
        <w:left w:w="108" w:type="dxa"/>
        <w:bottom w:w="0" w:type="dxa"/>
        <w:right w:w="108" w:type="dxa"/>
      </w:tblCellMar>
    </w:tblPr>
  </w:style>
  <w:style w:type="character" w:styleId="4">
    <w:name w:val="Strong"/>
    <w:basedOn w:val="3"/>
    <w:qFormat/>
    <w:uiPriority w:val="22"/>
    <w:rPr>
      <w:b/>
      <w:bCs/>
    </w:rPr>
  </w:style>
  <w:style w:type="character" w:styleId="5">
    <w:name w:val="Hyperlink"/>
    <w:basedOn w:val="3"/>
    <w:unhideWhenUsed/>
    <w:qFormat/>
    <w:uiPriority w:val="99"/>
    <w:rPr>
      <w:color w:val="333333"/>
      <w:sz w:val="18"/>
      <w:szCs w:val="18"/>
      <w:u w:val="none"/>
    </w:rPr>
  </w:style>
  <w:style w:type="character" w:customStyle="1" w:styleId="6">
    <w:name w:val="15"/>
    <w:basedOn w:val="3"/>
    <w:qFormat/>
    <w:uiPriority w:val="0"/>
  </w:style>
  <w:style w:type="paragraph" w:customStyle="1"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Pages>
  <Words>257</Words>
  <Characters>1466</Characters>
  <Lines>12</Lines>
  <Paragraphs>3</Paragraphs>
  <TotalTime>4</TotalTime>
  <ScaleCrop>false</ScaleCrop>
  <LinksUpToDate>false</LinksUpToDate>
  <CharactersWithSpaces>1720</CharactersWithSpaces>
  <Application>WPS Office_11.1.0.8515_F1E327BC-269C-435d-A152-05C5408002CA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2016-04-19T04:01:00Z</dcterms:created>
  <dc:creator>guo</dc:creator>
  <cp:lastModifiedBy>伍芳</cp:lastModifiedBy>
  <dcterms:modified xsi:type="dcterms:W3CDTF">2019-03-18T07:04:00Z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2052-11.1.0.8515</vt:lpwstr>
  </property>
</Properties>
</file>